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b w:val="1"/>
          <w:bCs w:val="1"/>
        </w:rPr>
      </w:pPr>
      <w:r w:rsidDel="00000000" w:rsidR="00000000" w:rsidRPr="00000000">
        <w:rPr>
          <w:b w:val="1"/>
          <w:bCs w:val="1"/>
          <w:rtl w:val="0"/>
        </w:rPr>
        <w:t xml:space="preserve">ASHTON COAL COMMUNITY SUPPORT PROGRAM</w:t>
      </w:r>
    </w:p>
    <w:p w:rsidR="00000000" w:rsidDel="00000000" w:rsidP="00000000" w:rsidRDefault="00000000" w:rsidRPr="00000000" w14:paraId="00000002">
      <w:pPr>
        <w:rPr>
          <w:b w:val="1"/>
          <w:bCs w:val="1"/>
        </w:rPr>
      </w:pPr>
      <w:r w:rsidDel="00000000" w:rsidR="00000000" w:rsidRPr="00000000">
        <w:rPr>
          <w:b w:val="1"/>
          <w:bCs w:val="1"/>
          <w:rtl w:val="0"/>
        </w:rPr>
        <w:t xml:space="preserve">Guidelines </w:t>
      </w:r>
    </w:p>
    <w:p w:rsidR="00000000" w:rsidDel="00000000" w:rsidP="00000000" w:rsidRDefault="00000000" w:rsidRPr="00000000" w14:paraId="00000003">
      <w:pPr>
        <w:rPr>
          <w:sz w:val="18"/>
          <w:szCs w:val="18"/>
        </w:rPr>
      </w:pPr>
      <w:r w:rsidDel="00000000" w:rsidR="00000000" w:rsidRPr="00000000">
        <w:rPr>
          <w:sz w:val="18"/>
          <w:szCs w:val="18"/>
          <w:rtl w:val="0"/>
        </w:rPr>
        <w:t xml:space="preserve">OVERVIEW </w:t>
      </w:r>
    </w:p>
    <w:p w:rsidR="00000000" w:rsidDel="00000000" w:rsidP="00000000" w:rsidRDefault="00000000" w:rsidRPr="00000000" w14:paraId="00000004">
      <w:pPr>
        <w:spacing w:after="0" w:lineRule="auto"/>
        <w:rPr>
          <w:sz w:val="18"/>
          <w:szCs w:val="18"/>
        </w:rPr>
      </w:pPr>
      <w:r w:rsidDel="00000000" w:rsidR="00000000" w:rsidRPr="00000000">
        <w:rPr>
          <w:sz w:val="18"/>
          <w:szCs w:val="18"/>
          <w:rtl w:val="0"/>
        </w:rPr>
        <w:t xml:space="preserve">Ashton Coal provides financial support to a range of local community groups, initiatives and events within the region. Yancoal is committed to making a genuine positive difference in the communities in which it operates. The program will source and select initiatives to in five specific categories: </w:t>
      </w:r>
    </w:p>
    <w:p w:rsidR="00000000" w:rsidDel="00000000" w:rsidP="00000000" w:rsidRDefault="00000000" w:rsidRPr="00000000" w14:paraId="00000005">
      <w:pPr>
        <w:spacing w:after="0" w:lineRule="auto"/>
        <w:rPr>
          <w:sz w:val="18"/>
          <w:szCs w:val="18"/>
        </w:rPr>
      </w:pPr>
      <w:r w:rsidDel="00000000" w:rsidR="00000000" w:rsidRPr="00000000">
        <w:rPr>
          <w:sz w:val="18"/>
          <w:szCs w:val="18"/>
          <w:rtl w:val="0"/>
        </w:rPr>
        <w:t xml:space="preserve">1. Social and Community;</w:t>
      </w:r>
    </w:p>
    <w:p w:rsidR="00000000" w:rsidDel="00000000" w:rsidP="00000000" w:rsidRDefault="00000000" w:rsidRPr="00000000" w14:paraId="00000006">
      <w:pPr>
        <w:spacing w:after="0" w:lineRule="auto"/>
        <w:rPr>
          <w:sz w:val="18"/>
          <w:szCs w:val="18"/>
        </w:rPr>
      </w:pPr>
      <w:r w:rsidDel="00000000" w:rsidR="00000000" w:rsidRPr="00000000">
        <w:rPr>
          <w:sz w:val="18"/>
          <w:szCs w:val="18"/>
          <w:rtl w:val="0"/>
        </w:rPr>
        <w:t xml:space="preserve">2. Education and Training;</w:t>
      </w:r>
    </w:p>
    <w:p w:rsidR="00000000" w:rsidDel="00000000" w:rsidP="00000000" w:rsidRDefault="00000000" w:rsidRPr="00000000" w14:paraId="00000007">
      <w:pPr>
        <w:spacing w:after="0" w:lineRule="auto"/>
        <w:rPr>
          <w:sz w:val="18"/>
          <w:szCs w:val="18"/>
        </w:rPr>
      </w:pPr>
      <w:r w:rsidDel="00000000" w:rsidR="00000000" w:rsidRPr="00000000">
        <w:rPr>
          <w:sz w:val="18"/>
          <w:szCs w:val="18"/>
          <w:rtl w:val="0"/>
        </w:rPr>
        <w:t xml:space="preserve">3. Health</w:t>
      </w:r>
    </w:p>
    <w:p w:rsidR="00000000" w:rsidDel="00000000" w:rsidP="00000000" w:rsidRDefault="00000000" w:rsidRPr="00000000" w14:paraId="00000008">
      <w:pPr>
        <w:spacing w:after="0" w:lineRule="auto"/>
        <w:rPr>
          <w:sz w:val="18"/>
          <w:szCs w:val="18"/>
        </w:rPr>
      </w:pPr>
      <w:r w:rsidDel="00000000" w:rsidR="00000000" w:rsidRPr="00000000">
        <w:rPr>
          <w:sz w:val="18"/>
          <w:szCs w:val="18"/>
          <w:rtl w:val="0"/>
        </w:rPr>
        <w:t xml:space="preserve">4. Environment; and</w:t>
      </w:r>
    </w:p>
    <w:p w:rsidR="00000000" w:rsidDel="00000000" w:rsidP="00000000" w:rsidRDefault="00000000" w:rsidRPr="00000000" w14:paraId="00000009">
      <w:pPr>
        <w:spacing w:after="0" w:lineRule="auto"/>
        <w:rPr>
          <w:sz w:val="18"/>
          <w:szCs w:val="18"/>
        </w:rPr>
      </w:pPr>
      <w:r w:rsidDel="00000000" w:rsidR="00000000" w:rsidRPr="00000000">
        <w:rPr>
          <w:sz w:val="18"/>
          <w:szCs w:val="18"/>
          <w:rtl w:val="0"/>
        </w:rPr>
        <w:t xml:space="preserve">5. Culture and Arts.</w:t>
      </w:r>
    </w:p>
    <w:p w:rsidR="00000000" w:rsidDel="00000000" w:rsidP="00000000" w:rsidRDefault="00000000" w:rsidRPr="00000000" w14:paraId="0000000A">
      <w:pPr>
        <w:spacing w:after="0" w:lineRule="auto"/>
        <w:rPr>
          <w:sz w:val="18"/>
          <w:szCs w:val="18"/>
        </w:rPr>
      </w:pPr>
      <w:r w:rsidDel="00000000" w:rsidR="00000000" w:rsidRPr="00000000">
        <w:rPr>
          <w:rtl w:val="0"/>
        </w:rPr>
      </w:r>
    </w:p>
    <w:p w:rsidR="00000000" w:rsidDel="00000000" w:rsidP="00000000" w:rsidRDefault="00000000" w:rsidRPr="00000000" w14:paraId="0000000B">
      <w:pPr>
        <w:rPr>
          <w:b w:val="1"/>
          <w:bCs w:val="1"/>
          <w:sz w:val="18"/>
          <w:szCs w:val="18"/>
        </w:rPr>
      </w:pPr>
      <w:r w:rsidDel="00000000" w:rsidR="00000000" w:rsidRPr="00000000">
        <w:rPr>
          <w:b w:val="1"/>
          <w:bCs w:val="1"/>
          <w:sz w:val="18"/>
          <w:szCs w:val="18"/>
          <w:rtl w:val="0"/>
        </w:rPr>
        <w:t xml:space="preserve">ELIGIBILITY </w:t>
      </w:r>
    </w:p>
    <w:p w:rsidR="00000000" w:rsidDel="00000000" w:rsidP="00000000" w:rsidRDefault="00000000" w:rsidRPr="00000000" w14:paraId="0000000C">
      <w:pPr>
        <w:rPr>
          <w:sz w:val="18"/>
          <w:szCs w:val="18"/>
        </w:rPr>
      </w:pPr>
      <w:r w:rsidDel="00000000" w:rsidR="00000000" w:rsidRPr="00000000">
        <w:rPr>
          <w:sz w:val="18"/>
          <w:szCs w:val="18"/>
          <w:rtl w:val="0"/>
        </w:rPr>
        <w:t xml:space="preserve">The following criteria must be satisfied for an applicant to be eligible for funding: </w:t>
      </w:r>
    </w:p>
    <w:p w:rsidR="00000000" w:rsidDel="00000000" w:rsidP="00000000" w:rsidRDefault="00000000" w:rsidRPr="00000000" w14:paraId="0000000D">
      <w:pPr>
        <w:spacing w:after="0" w:lineRule="auto"/>
        <w:rPr>
          <w:sz w:val="18"/>
          <w:szCs w:val="18"/>
        </w:rPr>
      </w:pPr>
      <w:r w:rsidDel="00000000" w:rsidR="00000000" w:rsidRPr="00000000">
        <w:rPr>
          <w:sz w:val="18"/>
          <w:szCs w:val="18"/>
          <w:rtl w:val="0"/>
        </w:rPr>
        <w:t xml:space="preserve">• The applicant must be a not‐for‐profit, incorporated organisation operating an auditable  bank account; </w:t>
      </w:r>
    </w:p>
    <w:p w:rsidR="00000000" w:rsidDel="00000000" w:rsidP="00000000" w:rsidRDefault="00000000" w:rsidRPr="00000000" w14:paraId="0000000E">
      <w:pPr>
        <w:spacing w:after="0" w:lineRule="auto"/>
        <w:rPr>
          <w:sz w:val="18"/>
          <w:szCs w:val="18"/>
        </w:rPr>
      </w:pPr>
      <w:r w:rsidDel="00000000" w:rsidR="00000000" w:rsidRPr="00000000">
        <w:rPr>
          <w:sz w:val="18"/>
          <w:szCs w:val="18"/>
          <w:rtl w:val="0"/>
        </w:rPr>
        <w:t xml:space="preserve">• Demonstrate the organisation’s ability to manage the proposed project/activity in a professional manner; </w:t>
      </w:r>
    </w:p>
    <w:p w:rsidR="00000000" w:rsidDel="00000000" w:rsidP="00000000" w:rsidRDefault="00000000" w:rsidRPr="00000000" w14:paraId="0000000F">
      <w:pPr>
        <w:spacing w:after="0" w:lineRule="auto"/>
        <w:rPr>
          <w:sz w:val="18"/>
          <w:szCs w:val="18"/>
        </w:rPr>
      </w:pPr>
      <w:r w:rsidDel="00000000" w:rsidR="00000000" w:rsidRPr="00000000">
        <w:rPr>
          <w:sz w:val="18"/>
          <w:szCs w:val="18"/>
          <w:rtl w:val="0"/>
        </w:rPr>
        <w:t xml:space="preserve">• Primarily benefits at least one of the communities where we operate; </w:t>
      </w:r>
    </w:p>
    <w:p w:rsidR="00000000" w:rsidDel="00000000" w:rsidP="00000000" w:rsidRDefault="00000000" w:rsidRPr="00000000" w14:paraId="00000010">
      <w:pPr>
        <w:spacing w:after="0" w:lineRule="auto"/>
        <w:rPr>
          <w:sz w:val="18"/>
          <w:szCs w:val="18"/>
        </w:rPr>
      </w:pPr>
      <w:r w:rsidDel="00000000" w:rsidR="00000000" w:rsidRPr="00000000">
        <w:rPr>
          <w:sz w:val="18"/>
          <w:szCs w:val="18"/>
          <w:rtl w:val="0"/>
        </w:rPr>
        <w:t xml:space="preserve">• Addresses a substantiated need in the community; </w:t>
      </w:r>
    </w:p>
    <w:p w:rsidR="00000000" w:rsidDel="00000000" w:rsidP="00000000" w:rsidRDefault="00000000" w:rsidRPr="00000000" w14:paraId="00000011">
      <w:pPr>
        <w:spacing w:after="0" w:lineRule="auto"/>
        <w:rPr>
          <w:sz w:val="18"/>
          <w:szCs w:val="18"/>
        </w:rPr>
      </w:pPr>
      <w:r w:rsidDel="00000000" w:rsidR="00000000" w:rsidRPr="00000000">
        <w:rPr>
          <w:sz w:val="18"/>
          <w:szCs w:val="18"/>
          <w:rtl w:val="0"/>
        </w:rPr>
        <w:t xml:space="preserve">• Demonstrate how the initiative will directly benefit the local community; </w:t>
      </w:r>
    </w:p>
    <w:p w:rsidR="00000000" w:rsidDel="00000000" w:rsidP="00000000" w:rsidRDefault="00000000" w:rsidRPr="00000000" w14:paraId="00000012">
      <w:pPr>
        <w:spacing w:after="0" w:lineRule="auto"/>
        <w:rPr>
          <w:sz w:val="18"/>
          <w:szCs w:val="18"/>
        </w:rPr>
      </w:pPr>
      <w:r w:rsidDel="00000000" w:rsidR="00000000" w:rsidRPr="00000000">
        <w:rPr>
          <w:sz w:val="18"/>
          <w:szCs w:val="18"/>
          <w:rtl w:val="0"/>
        </w:rPr>
        <w:t xml:space="preserve">• Demonstrate a high level of community involvement and be beneficial to the community; </w:t>
      </w:r>
    </w:p>
    <w:p w:rsidR="00000000" w:rsidDel="00000000" w:rsidP="00000000" w:rsidRDefault="00000000" w:rsidRPr="00000000" w14:paraId="00000013">
      <w:pPr>
        <w:spacing w:after="0" w:lineRule="auto"/>
        <w:rPr>
          <w:sz w:val="18"/>
          <w:szCs w:val="18"/>
        </w:rPr>
      </w:pPr>
      <w:r w:rsidDel="00000000" w:rsidR="00000000" w:rsidRPr="00000000">
        <w:rPr>
          <w:sz w:val="18"/>
          <w:szCs w:val="18"/>
          <w:rtl w:val="0"/>
        </w:rPr>
        <w:t xml:space="preserve">• Has clearly defined objectives and timeframes; and </w:t>
      </w:r>
    </w:p>
    <w:p w:rsidR="00000000" w:rsidDel="00000000" w:rsidP="00000000" w:rsidRDefault="00000000" w:rsidRPr="00000000" w14:paraId="00000014">
      <w:pPr>
        <w:rPr>
          <w:sz w:val="18"/>
          <w:szCs w:val="18"/>
        </w:rPr>
      </w:pPr>
      <w:r w:rsidDel="00000000" w:rsidR="00000000" w:rsidRPr="00000000">
        <w:rPr>
          <w:sz w:val="18"/>
          <w:szCs w:val="18"/>
          <w:rtl w:val="0"/>
        </w:rPr>
        <w:t xml:space="preserve">•  Notification of planned project/activity implementation to be made within the ‘funding round’ timeframe. </w:t>
      </w:r>
    </w:p>
    <w:p w:rsidR="00000000" w:rsidDel="00000000" w:rsidP="00000000" w:rsidRDefault="00000000" w:rsidRPr="00000000" w14:paraId="00000015">
      <w:pPr>
        <w:rPr>
          <w:b w:val="1"/>
          <w:bCs w:val="1"/>
          <w:sz w:val="18"/>
          <w:szCs w:val="18"/>
        </w:rPr>
      </w:pPr>
      <w:r w:rsidDel="00000000" w:rsidR="00000000" w:rsidRPr="00000000">
        <w:rPr>
          <w:b w:val="1"/>
          <w:bCs w:val="1"/>
          <w:sz w:val="18"/>
          <w:szCs w:val="18"/>
          <w:rtl w:val="0"/>
        </w:rPr>
        <w:t xml:space="preserve">INELIGIBILITY </w:t>
      </w:r>
    </w:p>
    <w:p w:rsidR="00000000" w:rsidDel="00000000" w:rsidP="00000000" w:rsidRDefault="00000000" w:rsidRPr="00000000" w14:paraId="00000016">
      <w:pPr>
        <w:rPr>
          <w:sz w:val="18"/>
          <w:szCs w:val="18"/>
        </w:rPr>
      </w:pPr>
      <w:r w:rsidDel="00000000" w:rsidR="00000000" w:rsidRPr="00000000">
        <w:rPr>
          <w:sz w:val="18"/>
          <w:szCs w:val="18"/>
          <w:rtl w:val="0"/>
        </w:rPr>
        <w:t xml:space="preserve">Applications or proposals for support of the following will be deemed ineligible: </w:t>
      </w:r>
    </w:p>
    <w:p w:rsidR="00000000" w:rsidDel="00000000" w:rsidP="00000000" w:rsidRDefault="00000000" w:rsidRPr="00000000" w14:paraId="00000017">
      <w:pPr>
        <w:spacing w:after="0" w:lineRule="auto"/>
        <w:rPr>
          <w:sz w:val="18"/>
          <w:szCs w:val="18"/>
        </w:rPr>
      </w:pPr>
      <w:r w:rsidDel="00000000" w:rsidR="00000000" w:rsidRPr="00000000">
        <w:rPr>
          <w:sz w:val="18"/>
          <w:szCs w:val="18"/>
          <w:rtl w:val="0"/>
        </w:rPr>
        <w:t xml:space="preserve">• Political parties or organisations, politicians or candidates for public office; </w:t>
      </w:r>
    </w:p>
    <w:p w:rsidR="00000000" w:rsidDel="00000000" w:rsidP="00000000" w:rsidRDefault="00000000" w:rsidRPr="00000000" w14:paraId="00000018">
      <w:pPr>
        <w:spacing w:after="0" w:lineRule="auto"/>
        <w:rPr>
          <w:sz w:val="18"/>
          <w:szCs w:val="18"/>
        </w:rPr>
      </w:pPr>
      <w:r w:rsidDel="00000000" w:rsidR="00000000" w:rsidRPr="00000000">
        <w:rPr>
          <w:sz w:val="18"/>
          <w:szCs w:val="18"/>
          <w:rtl w:val="0"/>
        </w:rPr>
        <w:t xml:space="preserve">• Individuals, including those seeking support for activities such as academic studies; </w:t>
      </w:r>
    </w:p>
    <w:p w:rsidR="00000000" w:rsidDel="00000000" w:rsidP="00000000" w:rsidRDefault="00000000" w:rsidRPr="00000000" w14:paraId="00000019">
      <w:pPr>
        <w:spacing w:after="0" w:lineRule="auto"/>
        <w:rPr>
          <w:sz w:val="18"/>
          <w:szCs w:val="18"/>
        </w:rPr>
      </w:pPr>
      <w:r w:rsidDel="00000000" w:rsidR="00000000" w:rsidRPr="00000000">
        <w:rPr>
          <w:sz w:val="18"/>
          <w:szCs w:val="18"/>
          <w:rtl w:val="0"/>
        </w:rPr>
        <w:t xml:space="preserve">• ‘For profit’ organisations; </w:t>
      </w:r>
    </w:p>
    <w:p w:rsidR="00000000" w:rsidDel="00000000" w:rsidP="00000000" w:rsidRDefault="00000000" w:rsidRPr="00000000" w14:paraId="0000001A">
      <w:pPr>
        <w:spacing w:after="0" w:lineRule="auto"/>
        <w:rPr>
          <w:sz w:val="18"/>
          <w:szCs w:val="18"/>
        </w:rPr>
      </w:pPr>
      <w:r w:rsidDel="00000000" w:rsidR="00000000" w:rsidRPr="00000000">
        <w:rPr>
          <w:sz w:val="18"/>
          <w:szCs w:val="18"/>
          <w:rtl w:val="0"/>
        </w:rPr>
        <w:t xml:space="preserve">• Projects/activities that only seek a portion of the total project costs, and for which the remaining costs are unsecured or unsourced; </w:t>
      </w:r>
    </w:p>
    <w:p w:rsidR="00000000" w:rsidDel="00000000" w:rsidP="00000000" w:rsidRDefault="00000000" w:rsidRPr="00000000" w14:paraId="0000001B">
      <w:pPr>
        <w:spacing w:after="0" w:lineRule="auto"/>
        <w:rPr>
          <w:sz w:val="18"/>
          <w:szCs w:val="18"/>
        </w:rPr>
      </w:pPr>
      <w:r w:rsidDel="00000000" w:rsidR="00000000" w:rsidRPr="00000000">
        <w:rPr>
          <w:sz w:val="18"/>
          <w:szCs w:val="18"/>
          <w:rtl w:val="0"/>
        </w:rPr>
        <w:t xml:space="preserve">• Overseas appeals; and / or </w:t>
      </w:r>
    </w:p>
    <w:p w:rsidR="00000000" w:rsidDel="00000000" w:rsidP="00000000" w:rsidRDefault="00000000" w:rsidRPr="00000000" w14:paraId="0000001C">
      <w:pPr>
        <w:spacing w:after="0" w:lineRule="auto"/>
        <w:rPr>
          <w:sz w:val="18"/>
          <w:szCs w:val="18"/>
        </w:rPr>
      </w:pPr>
      <w:r w:rsidDel="00000000" w:rsidR="00000000" w:rsidRPr="00000000">
        <w:rPr>
          <w:sz w:val="18"/>
          <w:szCs w:val="18"/>
          <w:rtl w:val="0"/>
        </w:rPr>
        <w:t xml:space="preserve">• Projects/activities that have already been completed (retrospective funding). </w:t>
      </w:r>
    </w:p>
    <w:p w:rsidR="00000000" w:rsidDel="00000000" w:rsidP="00000000" w:rsidRDefault="00000000" w:rsidRPr="00000000" w14:paraId="0000001D">
      <w:pPr>
        <w:spacing w:after="0" w:lineRule="auto"/>
        <w:rPr>
          <w:sz w:val="18"/>
          <w:szCs w:val="18"/>
        </w:rPr>
      </w:pPr>
      <w:r w:rsidDel="00000000" w:rsidR="00000000" w:rsidRPr="00000000">
        <w:rPr>
          <w:rtl w:val="0"/>
        </w:rPr>
      </w:r>
    </w:p>
    <w:p w:rsidR="00000000" w:rsidDel="00000000" w:rsidP="00000000" w:rsidRDefault="00000000" w:rsidRPr="00000000" w14:paraId="0000001E">
      <w:pPr>
        <w:rPr>
          <w:b w:val="1"/>
          <w:bCs w:val="1"/>
          <w:sz w:val="18"/>
          <w:szCs w:val="18"/>
        </w:rPr>
      </w:pPr>
      <w:r w:rsidDel="00000000" w:rsidR="00000000" w:rsidRPr="00000000">
        <w:rPr>
          <w:b w:val="1"/>
          <w:bCs w:val="1"/>
          <w:sz w:val="18"/>
          <w:szCs w:val="18"/>
          <w:rtl w:val="0"/>
        </w:rPr>
        <w:t xml:space="preserve">PROCESS </w:t>
      </w:r>
    </w:p>
    <w:p w:rsidR="00000000" w:rsidDel="00000000" w:rsidP="00000000" w:rsidRDefault="00000000" w:rsidRPr="00000000" w14:paraId="0000001F">
      <w:pPr>
        <w:spacing w:after="0" w:lineRule="auto"/>
        <w:rPr>
          <w:sz w:val="18"/>
          <w:szCs w:val="18"/>
        </w:rPr>
      </w:pPr>
      <w:r w:rsidDel="00000000" w:rsidR="00000000" w:rsidRPr="00000000">
        <w:rPr>
          <w:sz w:val="18"/>
          <w:szCs w:val="18"/>
          <w:rtl w:val="0"/>
        </w:rPr>
        <w:t xml:space="preserve">Applications will be considered annually and must be lodged by Midnight of </w:t>
      </w:r>
      <w:r w:rsidDel="00000000" w:rsidR="00000000" w:rsidRPr="00000000">
        <w:rPr>
          <w:b w:val="1"/>
          <w:bCs w:val="1"/>
          <w:sz w:val="18"/>
          <w:szCs w:val="18"/>
          <w:rtl w:val="0"/>
        </w:rPr>
        <w:t xml:space="preserve">25 September 2026.</w:t>
      </w:r>
      <w:r w:rsidDel="00000000" w:rsidR="00000000" w:rsidRPr="00000000">
        <w:rPr>
          <w:sz w:val="18"/>
          <w:szCs w:val="18"/>
          <w:rtl w:val="0"/>
        </w:rPr>
        <w:t xml:space="preserve"> </w:t>
      </w:r>
    </w:p>
    <w:p w:rsidR="00000000" w:rsidDel="00000000" w:rsidP="00000000" w:rsidRDefault="00000000" w:rsidRPr="00000000" w14:paraId="00000020">
      <w:pPr>
        <w:spacing w:after="0" w:lineRule="auto"/>
        <w:rPr>
          <w:sz w:val="18"/>
          <w:szCs w:val="18"/>
        </w:rPr>
      </w:pPr>
      <w:r w:rsidDel="00000000" w:rsidR="00000000" w:rsidRPr="00000000">
        <w:rPr>
          <w:rtl w:val="0"/>
        </w:rPr>
      </w:r>
    </w:p>
    <w:p w:rsidR="00000000" w:rsidDel="00000000" w:rsidP="00000000" w:rsidRDefault="00000000" w:rsidRPr="00000000" w14:paraId="00000021">
      <w:pPr>
        <w:spacing w:after="0" w:lineRule="auto"/>
        <w:rPr>
          <w:sz w:val="18"/>
          <w:szCs w:val="18"/>
        </w:rPr>
      </w:pPr>
      <w:r w:rsidDel="00000000" w:rsidR="00000000" w:rsidRPr="00000000">
        <w:rPr>
          <w:sz w:val="18"/>
          <w:szCs w:val="18"/>
          <w:rtl w:val="0"/>
        </w:rPr>
        <w:t xml:space="preserve">A committee comprising of community representatives and Ashton Coal employees will assess applications and make recommendations on what support should be provided. Alignment with support guidelines will not guarantee support. Ashton Coal retains absolute discretion over community support allocations. </w:t>
      </w:r>
    </w:p>
    <w:p w:rsidR="00000000" w:rsidDel="00000000" w:rsidP="00000000" w:rsidRDefault="00000000" w:rsidRPr="00000000" w14:paraId="00000022">
      <w:pPr>
        <w:spacing w:after="0" w:lineRule="auto"/>
        <w:rPr>
          <w:sz w:val="18"/>
          <w:szCs w:val="18"/>
        </w:rPr>
      </w:pPr>
      <w:r w:rsidDel="00000000" w:rsidR="00000000" w:rsidRPr="00000000">
        <w:rPr>
          <w:rtl w:val="0"/>
        </w:rPr>
      </w:r>
    </w:p>
    <w:p w:rsidR="00000000" w:rsidDel="00000000" w:rsidP="00000000" w:rsidRDefault="00000000" w:rsidRPr="00000000" w14:paraId="00000023">
      <w:pPr>
        <w:spacing w:after="0" w:lineRule="auto"/>
        <w:rPr>
          <w:sz w:val="18"/>
          <w:szCs w:val="18"/>
        </w:rPr>
      </w:pPr>
      <w:r w:rsidDel="00000000" w:rsidR="00000000" w:rsidRPr="00000000">
        <w:rPr>
          <w:sz w:val="18"/>
          <w:szCs w:val="18"/>
          <w:rtl w:val="0"/>
        </w:rPr>
        <w:t xml:space="preserve">Successful applicants will assume all normal commercial responsibilities including public risk and/or any other appropriate insurances. Successful applicants may also be asked to publicly recognise Ashton Coal support.</w:t>
      </w:r>
    </w:p>
    <w:p w:rsidR="00000000" w:rsidDel="00000000" w:rsidP="00000000" w:rsidRDefault="00000000" w:rsidRPr="00000000" w14:paraId="00000024">
      <w:pPr>
        <w:rPr>
          <w:sz w:val="18"/>
          <w:szCs w:val="18"/>
        </w:rPr>
      </w:pPr>
      <w:r w:rsidDel="00000000" w:rsidR="00000000" w:rsidRPr="00000000">
        <w:rPr>
          <w:sz w:val="18"/>
          <w:szCs w:val="18"/>
          <w:rtl w:val="0"/>
        </w:rPr>
        <w:tab/>
      </w:r>
    </w:p>
    <w:p w:rsidR="00000000" w:rsidDel="00000000" w:rsidP="00000000" w:rsidRDefault="00000000" w:rsidRPr="00000000" w14:paraId="00000025">
      <w:pPr>
        <w:rPr>
          <w:sz w:val="18"/>
          <w:szCs w:val="18"/>
        </w:rPr>
      </w:pPr>
      <w:r w:rsidDel="00000000" w:rsidR="00000000" w:rsidRPr="00000000">
        <w:rPr>
          <w:sz w:val="18"/>
          <w:szCs w:val="18"/>
          <w:rtl w:val="0"/>
        </w:rPr>
        <w:t xml:space="preserve">For any additional questions, please email </w:t>
      </w:r>
      <w:hyperlink r:id="rId7">
        <w:r w:rsidDel="00000000" w:rsidR="00000000" w:rsidRPr="00000000">
          <w:rPr>
            <w:color w:val="1155cc"/>
            <w:sz w:val="18"/>
            <w:szCs w:val="18"/>
            <w:u w:val="single"/>
            <w:rtl w:val="0"/>
          </w:rPr>
          <w:t xml:space="preserve">Ashton.Environment&amp;Community@yancoal.com.au</w:t>
        </w:r>
      </w:hyperlink>
      <w:r w:rsidDel="00000000" w:rsidR="00000000" w:rsidRPr="00000000">
        <w:rPr>
          <w:sz w:val="18"/>
          <w:szCs w:val="18"/>
          <w:rtl w:val="0"/>
        </w:rPr>
        <w:t xml:space="preserve"> </w:t>
        <w:tab/>
        <w:tab/>
        <w:tab/>
        <w:tab/>
        <w:tab/>
        <w:tab/>
        <w:tab/>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ommunity@yancoal.com.auAshton.Environment&amp;Community@yancoal.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RbtZ2nFjcsq7wzqa8F7beR9pg==">CgMxLjA4AHIhMUxEZVNEeExibS1ZZHcxUHRWR1RjWkZCdFc3a1IyODdW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